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B7" w:rsidRDefault="003441B7" w:rsidP="003441B7"/>
    <w:p w:rsidR="003441B7" w:rsidRDefault="003441B7" w:rsidP="003441B7"/>
    <w:p w:rsidR="003441B7" w:rsidRDefault="003441B7" w:rsidP="003441B7"/>
    <w:p w:rsidR="003441B7" w:rsidRDefault="003441B7" w:rsidP="003441B7">
      <w:pPr>
        <w:pStyle w:val="Titolo2"/>
      </w:pPr>
      <w:r>
        <w:t>CURRICULUM</w:t>
      </w:r>
    </w:p>
    <w:p w:rsidR="003441B7" w:rsidRDefault="003441B7" w:rsidP="003441B7"/>
    <w:p w:rsidR="003441B7" w:rsidRDefault="003441B7" w:rsidP="003441B7"/>
    <w:p w:rsidR="003441B7" w:rsidRDefault="003441B7" w:rsidP="003441B7">
      <w:pPr>
        <w:pStyle w:val="Titolo1"/>
        <w:jc w:val="center"/>
        <w:rPr>
          <w:u w:val="none"/>
        </w:rPr>
      </w:pPr>
      <w:r>
        <w:rPr>
          <w:u w:val="none"/>
        </w:rPr>
        <w:t>Dott. Paolo Sordi</w:t>
      </w:r>
    </w:p>
    <w:p w:rsidR="003441B7" w:rsidRDefault="003441B7" w:rsidP="003441B7">
      <w:pPr>
        <w:jc w:val="both"/>
      </w:pPr>
    </w:p>
    <w:p w:rsidR="003441B7" w:rsidRDefault="003441B7" w:rsidP="003441B7">
      <w:r>
        <w:t xml:space="preserve">Laureato in giurisprudenza presso l’Università degli Studi </w:t>
      </w:r>
      <w:smartTag w:uri="urn:schemas-microsoft-com:office:smarttags" w:element="PersonName">
        <w:smartTagPr>
          <w:attr w:name="ProductID" w:val="La Sapienza"/>
        </w:smartTagPr>
        <w:r>
          <w:t>La Sapienza</w:t>
        </w:r>
      </w:smartTag>
      <w:r>
        <w:t xml:space="preserve"> di Roma 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</w:p>
    <w:p w:rsidR="003441B7" w:rsidRPr="00BE4C3A" w:rsidRDefault="003441B7" w:rsidP="003441B7">
      <w:pPr>
        <w:pStyle w:val="Titolo3"/>
        <w:jc w:val="both"/>
        <w:rPr>
          <w:b/>
        </w:rPr>
      </w:pPr>
      <w:r>
        <w:rPr>
          <w:b/>
        </w:rPr>
        <w:t>Attività</w:t>
      </w:r>
      <w:r w:rsidRPr="00BE4C3A">
        <w:rPr>
          <w:b/>
        </w:rPr>
        <w:t xml:space="preserve"> professionali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 xml:space="preserve">Pretore del lavoro presso </w:t>
      </w:r>
      <w:smartTag w:uri="urn:schemas-microsoft-com:office:smarttags" w:element="PersonName">
        <w:smartTagPr>
          <w:attr w:name="ProductID" w:val="la Pretura"/>
        </w:smartTagPr>
        <w:r>
          <w:t>la Pretura</w:t>
        </w:r>
      </w:smartTag>
      <w:r>
        <w:t xml:space="preserve"> di Ancona dal 2.12.87 al 5.11.92</w:t>
      </w:r>
    </w:p>
    <w:p w:rsidR="003441B7" w:rsidRDefault="003441B7" w:rsidP="003441B7">
      <w:pPr>
        <w:jc w:val="both"/>
      </w:pPr>
      <w:r>
        <w:t xml:space="preserve">Pretore del lavoro presso </w:t>
      </w:r>
      <w:smartTag w:uri="urn:schemas-microsoft-com:office:smarttags" w:element="PersonName">
        <w:smartTagPr>
          <w:attr w:name="ProductID" w:val="la Pretura"/>
        </w:smartTagPr>
        <w:r>
          <w:t>la Pretura</w:t>
        </w:r>
      </w:smartTag>
      <w:r>
        <w:t xml:space="preserve"> di Roma dal 6.11.92 al 1°.6.99</w:t>
      </w:r>
    </w:p>
    <w:p w:rsidR="003441B7" w:rsidRDefault="003441B7" w:rsidP="003441B7">
      <w:pPr>
        <w:jc w:val="both"/>
      </w:pPr>
      <w:r>
        <w:t>Giudice presso la sezione lavoro del Tribunale di Roma dal 2.6.99 al 20.2.01</w:t>
      </w:r>
    </w:p>
    <w:p w:rsidR="003441B7" w:rsidRDefault="003441B7" w:rsidP="003441B7">
      <w:pPr>
        <w:jc w:val="both"/>
      </w:pPr>
      <w:r>
        <w:t>Consigliere presso la sezione lavoro della Corte d’Appello di L’Aquila dal 21.2.01 al 23.10.2005</w:t>
      </w:r>
    </w:p>
    <w:p w:rsidR="003441B7" w:rsidRDefault="003441B7" w:rsidP="003441B7">
      <w:pPr>
        <w:jc w:val="both"/>
      </w:pPr>
      <w:r>
        <w:t>Assistente di studio di Giudice costituzionale dal 24.10.2005 al 14 giugno 2010.</w:t>
      </w:r>
    </w:p>
    <w:p w:rsidR="003441B7" w:rsidRDefault="003441B7" w:rsidP="003441B7">
      <w:pPr>
        <w:jc w:val="both"/>
      </w:pPr>
      <w:r>
        <w:t>Presidente di Sezione Lavoro del Tribunale di Roma dal 15.6.2010.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</w:p>
    <w:p w:rsidR="003441B7" w:rsidRPr="00BE4C3A" w:rsidRDefault="003441B7" w:rsidP="003441B7">
      <w:pPr>
        <w:pStyle w:val="Titolo1"/>
        <w:rPr>
          <w:b/>
        </w:rPr>
      </w:pPr>
      <w:r>
        <w:rPr>
          <w:b/>
        </w:rPr>
        <w:t>Attività</w:t>
      </w:r>
      <w:r w:rsidRPr="00BE4C3A">
        <w:rPr>
          <w:b/>
        </w:rPr>
        <w:t xml:space="preserve"> didattiche</w:t>
      </w:r>
    </w:p>
    <w:p w:rsidR="003441B7" w:rsidRDefault="003441B7" w:rsidP="003441B7"/>
    <w:p w:rsidR="003441B7" w:rsidRDefault="003441B7" w:rsidP="003441B7"/>
    <w:p w:rsidR="003441B7" w:rsidRDefault="003441B7" w:rsidP="003441B7">
      <w:pPr>
        <w:jc w:val="both"/>
      </w:pPr>
      <w:r>
        <w:t xml:space="preserve">Professore a contratto per il corso di “Diritto del pubblico impiego” presso </w:t>
      </w:r>
      <w:smartTag w:uri="urn:schemas-microsoft-com:office:smarttags" w:element="PersonName">
        <w:smartTagPr>
          <w:attr w:name="ProductID" w:val="la Facolt￠"/>
        </w:smartTagPr>
        <w:r>
          <w:t>la Facoltà</w:t>
        </w:r>
      </w:smartTag>
      <w:r>
        <w:t xml:space="preserve"> di giurisprudenza della LUMSA – Libera Università Maria SS. Assunta di Roma negli anni accademici 2013-14, 2012-13, 2011-2012, 2010-2011, 2009-10, 2008-09, 2007-08, 2006-07.</w:t>
      </w:r>
    </w:p>
    <w:p w:rsidR="003441B7" w:rsidRDefault="003441B7" w:rsidP="003441B7">
      <w:pPr>
        <w:jc w:val="both"/>
      </w:pPr>
    </w:p>
    <w:p w:rsidR="003441B7" w:rsidRPr="007A34BB" w:rsidRDefault="003441B7" w:rsidP="003441B7">
      <w:pPr>
        <w:jc w:val="both"/>
      </w:pPr>
      <w:r>
        <w:t xml:space="preserve">Professore a contratto per il corso di “Diritto processuale civile e del lavoro” presso </w:t>
      </w:r>
      <w:smartTag w:uri="urn:schemas-microsoft-com:office:smarttags" w:element="PersonName">
        <w:smartTagPr>
          <w:attr w:name="ProductID" w:val="la Facolt￠"/>
        </w:smartTagPr>
        <w:r>
          <w:t>la Facoltà</w:t>
        </w:r>
      </w:smartTag>
      <w:r>
        <w:t xml:space="preserve"> di giurisprudenza della LUMSA – Libera Università Maria SS. Assunta di Roma negli anni accademici 2005-06, 2004-05.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 xml:space="preserve">Professore a contratto per il corso di “Diritto processuale generale” presso </w:t>
      </w:r>
      <w:smartTag w:uri="urn:schemas-microsoft-com:office:smarttags" w:element="PersonName">
        <w:smartTagPr>
          <w:attr w:name="ProductID" w:val="la Facolt￠"/>
        </w:smartTagPr>
        <w:r>
          <w:t>la Facoltà</w:t>
        </w:r>
      </w:smartTag>
      <w:r>
        <w:t xml:space="preserve"> di giurisprudenza della LUMSA – Libera Università Maria SS. Assunta di Roma negli anni accademici 2001-02, 2002-03, 2003-04.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 xml:space="preserve">Incaricato dell’insegnamento di “Diritto del lavoro” presso </w:t>
      </w:r>
      <w:smartTag w:uri="urn:schemas-microsoft-com:office:smarttags" w:element="PersonName">
        <w:smartTagPr>
          <w:attr w:name="ProductID" w:val="la Scuola"/>
        </w:smartTagPr>
        <w:r>
          <w:t>la Scuola</w:t>
        </w:r>
      </w:smartTag>
      <w:r>
        <w:t xml:space="preserve"> di specializzazione per le Professioni Legali dell’Università degli studi di Roma La Sapienza nell’anno accademico 2012-13.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 xml:space="preserve">Incaricato dell’insegnamento di “Diritto del lavoro” presso </w:t>
      </w:r>
      <w:smartTag w:uri="urn:schemas-microsoft-com:office:smarttags" w:element="PersonName">
        <w:smartTagPr>
          <w:attr w:name="ProductID" w:val="la Scuola"/>
        </w:smartTagPr>
        <w:r>
          <w:t>la Scuola</w:t>
        </w:r>
      </w:smartTag>
      <w:r>
        <w:t xml:space="preserve"> di specializzazione per le Professioni Legali dell’Università degli studi di Teramo negli anni accademici 2005-06 e 2004-05.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Docente in materia di “Il processo del lavoro nel pubblico impiego”, nel Master di II Livello in Diritto del lavoro e della previdenza sociale presso l’Università degli studi “</w:t>
      </w:r>
      <w:smartTag w:uri="urn:schemas-microsoft-com:office:smarttags" w:element="PersonName">
        <w:smartTagPr>
          <w:attr w:name="ProductID" w:val="La Sapienza"/>
        </w:smartTagPr>
        <w:r>
          <w:t>La Sapienza</w:t>
        </w:r>
      </w:smartTag>
      <w:r>
        <w:t>” di Roma negli anni 2009 e 2010;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 xml:space="preserve">Professore a contratto a tempo determinato dell’attività seminariale “Diritto del lavoro ed esperienza processuale” nell’ambito del Master di II Livello in Diritto del lavoro presso l’Università degli studi di Catanzaro “Magna </w:t>
      </w:r>
      <w:proofErr w:type="spellStart"/>
      <w:r>
        <w:t>Graecia</w:t>
      </w:r>
      <w:proofErr w:type="spellEnd"/>
      <w:r>
        <w:t>” nell’anno accademico 2001-02.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lastRenderedPageBreak/>
        <w:t>Incaricato del corso integrativo “L’assicurazione contro gli infortuni sul lavoro” presso l’Università degli studi di Ancona negli anni accademici 1989-90 e 1990-91.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</w:p>
    <w:p w:rsidR="003441B7" w:rsidRPr="00BE4C3A" w:rsidRDefault="003441B7" w:rsidP="003441B7">
      <w:pPr>
        <w:pStyle w:val="Titolo1"/>
        <w:rPr>
          <w:b/>
        </w:rPr>
      </w:pPr>
      <w:r w:rsidRPr="00BE4C3A">
        <w:rPr>
          <w:b/>
        </w:rPr>
        <w:t>Convegni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Partecipazione, in qualità di relatore, ai seguenti convegni: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“Rappresentatività e contrattazione”, organizzato dall’Università degli studi di Roma La Sapienza, Dipartimento di scienze giuridiche, Roma, 1° luglio 2013.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“L’inverno del diritto del lavoro: i licenziamenti per motivi soggettivi”, organizzato dal Centro studi diritto del lavoro “Domenico Napoletano” – sezione di Roma e dalla LUISS, Roma, 27 febbraio 2013.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“Nuove regole dopo la legge n. 92 del 2012 di riforma del mercato del lavoro: competizione versus garanzie?”, Convegno nazionale dell’AGI-Avvocati Giuslavoristi Italiani, Ancona, 27 ottobre 2012;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 xml:space="preserve">“La riforma del mercato del lavoro: una prospettiva di crescita?”, organizzato dall’Università degli studi “Ca’ </w:t>
      </w:r>
      <w:proofErr w:type="spellStart"/>
      <w:r>
        <w:t>Foscari</w:t>
      </w:r>
      <w:proofErr w:type="spellEnd"/>
      <w:r>
        <w:t>” di Venezia, Dipartimento di Economia, Venezia, 15 giugno 2012;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“Il difficile equilibrio tra flessibilità in entrata e in uscita: ieri, oggi e domani”, organizzato dal Centro studi diritto del lavoro “Domenico Napoletano” – sezione di Roma e dalla LUISS, Roma, 8 maggio 2012;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“Pubblico impiego e lavoro privato tra novità legislative e linee evolutive”, organizzato dal Centro studi di diritto del lavoro “Domenico Napoletano” – sezione di Catanzaro, Catanzaro, 1° ottobre 2011;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“L’impatto della legge n. 183/2010, c.d. “Collegato lavoro”, nella valutazione delle parti sociali”, organizzato dal Centro studi di diritto del lavoro “Domenico Napoletano” – sezione Veneto, Vicenza, 10 giugno 2011;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 xml:space="preserve">“Il lavoro pubblico nella giurisprudenza romana (profili sostanziali)”, organizzato dal Centro studi diritto del lavoro “Domenico Napoletano” – sezione di Roma e dalla LUISS, Roma, 27 maggio 2010; 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“Il rapporto di agenzia e rappresentanza commerciale”, organizzato dall’Associazione Nazionale Forense, Roma, 1° dicembre 2008;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“L’indennità di cessazione del rapporto di agenzia dopo la sentenza 23 marzo 2006 della Corte di Giustizia Europea”, organizzato dal Centro studi diritto del lavoro “Domenico Napoletano”- sezione Veneto, Vicenza, 14.12.2006;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“Il rapporto di lavoro del dirigente pubblico”, organizzato dal Centro studi diritto del lavoro “Domenico Napoletano”- sezione Veneto, Padova, 18.3.2005;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“Attuazione e prospettive della riforma della dirigenza”, organizzato dal CNEL, Roma, 12.11.2003;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lastRenderedPageBreak/>
        <w:t>“Riparto di giurisdizione e accesso all’impiego nelle pubbliche amministrazioni”, organizzato dal Centro studi diritto del lavoro “Domenico Napoletano”- sezione Veneto, Verona 3.10.2003;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“Qualifiche e mansioni nel pubblico impiego dopo la riforma”, organizzato dal Centro studi diritto del lavoro “Domenico Napoletano”- sezione ligure, Genova 20.6.2003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“La riforma del contratto a termine”, organizzato dall’Università di Macerata-Facoltà di giurisprudenza, S. Severino Marche 15.12.2001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 xml:space="preserve">“Il contratto di agenzia tra disciplina nazionale e comunitaria”, organizzato dal Dipartimento di scienze giuridiche dell’Università degli Studi “Ca’ </w:t>
      </w:r>
      <w:proofErr w:type="spellStart"/>
      <w:r>
        <w:t>Foscari</w:t>
      </w:r>
      <w:proofErr w:type="spellEnd"/>
      <w:r>
        <w:t>” di Venezia, Vicenza 9.2.2001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 xml:space="preserve">“Lavoro pubblico e tutela delle posizioni giuridiche soggettive”, organizzato dall’Università di </w:t>
      </w:r>
      <w:proofErr w:type="spellStart"/>
      <w:r>
        <w:t>Padova-Facoltà</w:t>
      </w:r>
      <w:proofErr w:type="spellEnd"/>
      <w:r>
        <w:t xml:space="preserve"> di giurisprudenza, Padova 12.1.2001</w:t>
      </w:r>
    </w:p>
    <w:p w:rsidR="003441B7" w:rsidRDefault="003441B7" w:rsidP="003441B7">
      <w:pPr>
        <w:pStyle w:val="Titolo1"/>
      </w:pPr>
    </w:p>
    <w:p w:rsidR="003441B7" w:rsidRDefault="003441B7" w:rsidP="003441B7"/>
    <w:p w:rsidR="003441B7" w:rsidRDefault="003441B7" w:rsidP="003441B7"/>
    <w:p w:rsidR="003441B7" w:rsidRPr="00BE4C3A" w:rsidRDefault="003441B7" w:rsidP="003441B7">
      <w:pPr>
        <w:jc w:val="both"/>
        <w:rPr>
          <w:b/>
          <w:u w:val="single"/>
        </w:rPr>
      </w:pPr>
      <w:r w:rsidRPr="00BE4C3A">
        <w:rPr>
          <w:b/>
          <w:u w:val="single"/>
        </w:rPr>
        <w:t>Incontri di studio organizzati dal Consiglio Superiore della Magistratura</w:t>
      </w:r>
    </w:p>
    <w:p w:rsidR="003441B7" w:rsidRDefault="003441B7" w:rsidP="003441B7">
      <w:pPr>
        <w:jc w:val="both"/>
      </w:pPr>
    </w:p>
    <w:p w:rsidR="003441B7" w:rsidRDefault="003441B7" w:rsidP="003441B7">
      <w:pPr>
        <w:ind w:firstLine="708"/>
        <w:jc w:val="both"/>
      </w:pPr>
      <w:r>
        <w:t>A) Partecipazione, in qualità di relatore, nei seguenti incontri di studio destinati ai magistrati:</w:t>
      </w:r>
    </w:p>
    <w:p w:rsidR="003441B7" w:rsidRDefault="003441B7" w:rsidP="003441B7">
      <w:pPr>
        <w:jc w:val="both"/>
      </w:pPr>
      <w:r>
        <w:t>“L’amministrazione pubblica come parte contrattuale”, Catanzaro, 21 marzo 2013;</w:t>
      </w:r>
    </w:p>
    <w:p w:rsidR="003441B7" w:rsidRDefault="003441B7" w:rsidP="003441B7">
      <w:pPr>
        <w:jc w:val="both"/>
      </w:pPr>
      <w:r>
        <w:t>“La riforma del mercato del lavoro nella legge 28 giugno 2012, n. 92”, Roma, 29-31 ottobre 2012;</w:t>
      </w:r>
    </w:p>
    <w:p w:rsidR="003441B7" w:rsidRDefault="003441B7" w:rsidP="003441B7">
      <w:pPr>
        <w:jc w:val="both"/>
      </w:pPr>
      <w:r>
        <w:t>“Le principali questioni sostanziali e processuali in tema di previdenza e assistenza”, Roma, 19-21 marzo 2012;</w:t>
      </w:r>
    </w:p>
    <w:p w:rsidR="003441B7" w:rsidRDefault="003441B7" w:rsidP="003441B7">
      <w:pPr>
        <w:jc w:val="both"/>
      </w:pPr>
      <w:r>
        <w:t xml:space="preserve">“Il punto sul lavoro pubblico”, Roma, 14-16 marzo 2011; </w:t>
      </w:r>
    </w:p>
    <w:p w:rsidR="003441B7" w:rsidRDefault="003441B7" w:rsidP="003441B7">
      <w:pPr>
        <w:jc w:val="both"/>
      </w:pPr>
      <w:r>
        <w:t>“La dirigenza pubblica: bilanci e prospettive a dieci anni dalla seconda privatizzazione”, Catania, 28 novembre 2008;</w:t>
      </w:r>
    </w:p>
    <w:p w:rsidR="003441B7" w:rsidRDefault="003441B7" w:rsidP="003441B7">
      <w:pPr>
        <w:jc w:val="both"/>
      </w:pPr>
      <w:r>
        <w:t>“Il lavoro pubblico a dieci anni dalla riforma”, Roma, 14-16 aprile 2008;</w:t>
      </w:r>
    </w:p>
    <w:p w:rsidR="003441B7" w:rsidRDefault="003441B7" w:rsidP="003441B7">
      <w:pPr>
        <w:jc w:val="both"/>
      </w:pPr>
      <w:r>
        <w:t>“Il punto sul pubblico impiego”, Roma 7-11 marzo 2005</w:t>
      </w:r>
    </w:p>
    <w:p w:rsidR="003441B7" w:rsidRDefault="003441B7" w:rsidP="003441B7">
      <w:pPr>
        <w:jc w:val="both"/>
      </w:pPr>
      <w:r>
        <w:t>“La dirigenza nel settore privato e pubblico”, Roma 22-24 marzo 2004</w:t>
      </w:r>
    </w:p>
    <w:p w:rsidR="003441B7" w:rsidRDefault="003441B7" w:rsidP="003441B7">
      <w:pPr>
        <w:jc w:val="both"/>
      </w:pPr>
      <w:r>
        <w:t xml:space="preserve">“Questioni attuali nel contenzioso </w:t>
      </w:r>
      <w:proofErr w:type="spellStart"/>
      <w:r>
        <w:t>lavoristico</w:t>
      </w:r>
      <w:proofErr w:type="spellEnd"/>
      <w:r>
        <w:t>”, Roma, 20-22 ottobre 2003</w:t>
      </w:r>
    </w:p>
    <w:p w:rsidR="003441B7" w:rsidRDefault="003441B7" w:rsidP="003441B7">
      <w:pPr>
        <w:jc w:val="both"/>
      </w:pPr>
      <w:r>
        <w:t>“Le controversie sul pubblico impiego”, Roma, 20-22 gennaio 2003</w:t>
      </w:r>
    </w:p>
    <w:p w:rsidR="003441B7" w:rsidRDefault="003441B7" w:rsidP="003441B7">
      <w:pPr>
        <w:jc w:val="both"/>
      </w:pPr>
      <w:r>
        <w:t>“Le controversie in materia di pubblico impiego: profili sostanziali”, Roma, 12-16 novembre 2001 (2^ edizione) e 12-16 febbraio 2001 (1^ edizione).</w:t>
      </w:r>
    </w:p>
    <w:p w:rsidR="003441B7" w:rsidRDefault="003441B7" w:rsidP="003441B7">
      <w:pPr>
        <w:pStyle w:val="Titolo1"/>
        <w:rPr>
          <w:u w:val="none"/>
        </w:rPr>
      </w:pPr>
    </w:p>
    <w:p w:rsidR="003441B7" w:rsidRPr="001C6691" w:rsidRDefault="003441B7" w:rsidP="003441B7">
      <w:pPr>
        <w:pStyle w:val="Titolo1"/>
        <w:ind w:firstLine="708"/>
        <w:rPr>
          <w:u w:val="none"/>
        </w:rPr>
      </w:pPr>
      <w:r>
        <w:rPr>
          <w:u w:val="none"/>
        </w:rPr>
        <w:t xml:space="preserve">B) </w:t>
      </w:r>
      <w:r w:rsidRPr="001C6691">
        <w:rPr>
          <w:u w:val="none"/>
        </w:rPr>
        <w:t>Partecipazione, in qualità di coordinatore, ai seguenti incontri di studio destinati ai magistrati:</w:t>
      </w:r>
    </w:p>
    <w:p w:rsidR="003441B7" w:rsidRDefault="003441B7" w:rsidP="003441B7"/>
    <w:p w:rsidR="003441B7" w:rsidRPr="00E26CCB" w:rsidRDefault="003441B7" w:rsidP="003441B7">
      <w:r>
        <w:t>“Tutela della salute e della sicurezza nei luoghi di lavoro”, Roma, 18-20 febbraio 2009</w:t>
      </w:r>
    </w:p>
    <w:p w:rsidR="003441B7" w:rsidRDefault="003441B7" w:rsidP="003441B7">
      <w:pPr>
        <w:pStyle w:val="Titolo1"/>
      </w:pPr>
    </w:p>
    <w:p w:rsidR="003441B7" w:rsidRDefault="003441B7" w:rsidP="003441B7">
      <w:pPr>
        <w:pStyle w:val="Titolo1"/>
      </w:pPr>
    </w:p>
    <w:p w:rsidR="003441B7" w:rsidRPr="00BE4C3A" w:rsidRDefault="003441B7" w:rsidP="003441B7">
      <w:pPr>
        <w:pStyle w:val="Titolo1"/>
        <w:rPr>
          <w:b/>
        </w:rPr>
      </w:pPr>
      <w:r w:rsidRPr="00BE4C3A">
        <w:rPr>
          <w:b/>
        </w:rPr>
        <w:t>Pubblicazioni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Coautore dei volumi: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 xml:space="preserve">- </w:t>
      </w:r>
      <w:r w:rsidRPr="008A13C5">
        <w:rPr>
          <w:i/>
        </w:rPr>
        <w:t>La riforma del lavoro</w:t>
      </w:r>
      <w:r>
        <w:t xml:space="preserve"> (a cura di </w:t>
      </w:r>
      <w:proofErr w:type="spellStart"/>
      <w:r>
        <w:t>Di</w:t>
      </w:r>
      <w:proofErr w:type="spellEnd"/>
      <w:r>
        <w:t xml:space="preserve"> Paola), </w:t>
      </w:r>
      <w:proofErr w:type="spellStart"/>
      <w:r>
        <w:t>Giuffré</w:t>
      </w:r>
      <w:proofErr w:type="spellEnd"/>
      <w:r>
        <w:t>, 2013.</w:t>
      </w:r>
    </w:p>
    <w:p w:rsidR="003441B7" w:rsidRDefault="003441B7" w:rsidP="003441B7">
      <w:pPr>
        <w:jc w:val="both"/>
      </w:pPr>
      <w:r>
        <w:t xml:space="preserve">- E. Apicella – F. </w:t>
      </w:r>
      <w:proofErr w:type="spellStart"/>
      <w:r>
        <w:t>Curcuruto</w:t>
      </w:r>
      <w:proofErr w:type="spellEnd"/>
      <w:r>
        <w:t xml:space="preserve"> – P. Sordi – V. Tenore, </w:t>
      </w:r>
      <w:r w:rsidRPr="003E342F">
        <w:rPr>
          <w:i/>
        </w:rPr>
        <w:t>Il pubblico impiego “privatizzato” nella giurisprudenza</w:t>
      </w:r>
      <w:r>
        <w:t xml:space="preserve">, </w:t>
      </w:r>
      <w:proofErr w:type="spellStart"/>
      <w:r>
        <w:t>Giuffé</w:t>
      </w:r>
      <w:proofErr w:type="spellEnd"/>
      <w:r>
        <w:t>, 2005.</w:t>
      </w:r>
    </w:p>
    <w:p w:rsidR="003441B7" w:rsidRDefault="003441B7" w:rsidP="003441B7">
      <w:pPr>
        <w:jc w:val="both"/>
      </w:pPr>
      <w:r>
        <w:t xml:space="preserve">- P. Sordi - F. Amendola, </w:t>
      </w:r>
      <w:r>
        <w:rPr>
          <w:i/>
        </w:rPr>
        <w:t>Il processo del lavoro privato e pubblico</w:t>
      </w:r>
      <w:r>
        <w:t xml:space="preserve">, </w:t>
      </w:r>
      <w:proofErr w:type="spellStart"/>
      <w:r>
        <w:t>Giappichelli</w:t>
      </w:r>
      <w:proofErr w:type="spellEnd"/>
      <w:r>
        <w:t>, 2004.</w:t>
      </w:r>
    </w:p>
    <w:p w:rsidR="003441B7" w:rsidRDefault="003441B7" w:rsidP="003441B7">
      <w:pPr>
        <w:jc w:val="both"/>
      </w:pPr>
      <w:r>
        <w:lastRenderedPageBreak/>
        <w:t xml:space="preserve">- G. </w:t>
      </w:r>
      <w:proofErr w:type="spellStart"/>
      <w:r>
        <w:t>Noviello</w:t>
      </w:r>
      <w:proofErr w:type="spellEnd"/>
      <w:r>
        <w:t xml:space="preserve"> – P. Sordi – E. Apicella – V. Tenore, </w:t>
      </w:r>
      <w:r>
        <w:rPr>
          <w:i/>
        </w:rPr>
        <w:t>Le nuove controversie sul pubblico impiego privatizzato e gli uffici del contenzioso</w:t>
      </w:r>
      <w:r>
        <w:t xml:space="preserve">, </w:t>
      </w:r>
      <w:proofErr w:type="spellStart"/>
      <w:r>
        <w:t>Giuffré</w:t>
      </w:r>
      <w:proofErr w:type="spellEnd"/>
      <w:r>
        <w:t>, 2001.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Autore, tra gli altri, dei seguenti saggi ed articoli: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Anno 2013:</w:t>
      </w:r>
    </w:p>
    <w:p w:rsidR="003441B7" w:rsidRDefault="003441B7" w:rsidP="003441B7">
      <w:pPr>
        <w:jc w:val="both"/>
      </w:pPr>
      <w:r>
        <w:t xml:space="preserve">- L’ambito di applicazione del nuovo rito per l’impugnazione dei licenziamenti, in </w:t>
      </w:r>
      <w:r w:rsidRPr="00487570">
        <w:rPr>
          <w:i/>
        </w:rPr>
        <w:t>Nuove regole dopo la legge n. 92 del 2012 di riforma del mercato del lavoro</w:t>
      </w:r>
      <w:r>
        <w:t xml:space="preserve">, </w:t>
      </w:r>
      <w:proofErr w:type="spellStart"/>
      <w:r>
        <w:t>Giappichelli</w:t>
      </w:r>
      <w:proofErr w:type="spellEnd"/>
      <w:r>
        <w:t>, 2013, 263-283;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Anno 2012:</w:t>
      </w:r>
    </w:p>
    <w:p w:rsidR="003441B7" w:rsidRDefault="003441B7" w:rsidP="003441B7">
      <w:pPr>
        <w:jc w:val="both"/>
      </w:pPr>
      <w:r>
        <w:t xml:space="preserve">- Commento agli artt. 433-441 </w:t>
      </w:r>
      <w:proofErr w:type="spellStart"/>
      <w:r>
        <w:t>c.p.c.</w:t>
      </w:r>
      <w:proofErr w:type="spellEnd"/>
      <w:r>
        <w:t xml:space="preserve">, in AMOROSO-DI CERBO-FOGLIA-MARESCA, </w:t>
      </w:r>
      <w:r w:rsidRPr="00414975">
        <w:rPr>
          <w:i/>
        </w:rPr>
        <w:t>Diritto del lavoro. Vol. I</w:t>
      </w:r>
      <w:r>
        <w:rPr>
          <w:i/>
        </w:rPr>
        <w:t>V</w:t>
      </w:r>
      <w:r>
        <w:t xml:space="preserve">, </w:t>
      </w:r>
      <w:proofErr w:type="spellStart"/>
      <w:r>
        <w:t>Giuffré</w:t>
      </w:r>
      <w:proofErr w:type="spellEnd"/>
      <w:r>
        <w:t>, 2012, 549-637;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Anno 2011:</w:t>
      </w:r>
    </w:p>
    <w:p w:rsidR="003441B7" w:rsidRDefault="003441B7" w:rsidP="003441B7">
      <w:pPr>
        <w:jc w:val="both"/>
      </w:pPr>
      <w:r>
        <w:t xml:space="preserve">- Commento all’art. 45 del d. </w:t>
      </w:r>
      <w:proofErr w:type="spellStart"/>
      <w:r>
        <w:t>lgs</w:t>
      </w:r>
      <w:proofErr w:type="spellEnd"/>
      <w:r>
        <w:t xml:space="preserve">. n. 165/2001, in AMOROSO-DI CERBO-FIORILLO-MARESCA, </w:t>
      </w:r>
      <w:r w:rsidRPr="00414975">
        <w:rPr>
          <w:i/>
        </w:rPr>
        <w:t>Diritto del lavoro. Vol. III</w:t>
      </w:r>
      <w:r>
        <w:t xml:space="preserve">, </w:t>
      </w:r>
      <w:proofErr w:type="spellStart"/>
      <w:r>
        <w:t>Giuffré</w:t>
      </w:r>
      <w:proofErr w:type="spellEnd"/>
      <w:r>
        <w:t>, 2011, 715-746;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Anno 2010:</w:t>
      </w:r>
    </w:p>
    <w:p w:rsidR="003441B7" w:rsidRDefault="003441B7" w:rsidP="003441B7">
      <w:pPr>
        <w:jc w:val="both"/>
      </w:pPr>
      <w:r>
        <w:t xml:space="preserve">- Il sistema delle fonti nella disciplina del lavoro pubblico (dopo il d. </w:t>
      </w:r>
      <w:proofErr w:type="spellStart"/>
      <w:r>
        <w:t>lgs</w:t>
      </w:r>
      <w:proofErr w:type="spellEnd"/>
      <w:r>
        <w:t xml:space="preserve">. n. 150 del 2009), in </w:t>
      </w:r>
      <w:r w:rsidRPr="00CE74E7">
        <w:rPr>
          <w:i/>
        </w:rPr>
        <w:t>Lavoro nelle pubbliche amministrazioni</w:t>
      </w:r>
      <w:r>
        <w:t>, 2010, 805;</w:t>
      </w:r>
    </w:p>
    <w:p w:rsidR="003441B7" w:rsidRDefault="003441B7" w:rsidP="003441B7">
      <w:pPr>
        <w:jc w:val="both"/>
      </w:pPr>
      <w:r>
        <w:t xml:space="preserve">- I rapporti tra procedimento disciplinare e procedimento penale nelle amministrazioni pubbliche, in </w:t>
      </w:r>
      <w:r w:rsidRPr="00CE74E7">
        <w:rPr>
          <w:i/>
        </w:rPr>
        <w:t>Lavoro nelle pubbliche amministrazioni</w:t>
      </w:r>
      <w:r>
        <w:t xml:space="preserve">, 2010, 603;  </w:t>
      </w:r>
    </w:p>
    <w:p w:rsidR="003441B7" w:rsidRDefault="003441B7" w:rsidP="003441B7">
      <w:pPr>
        <w:jc w:val="both"/>
      </w:pPr>
      <w:r>
        <w:t xml:space="preserve">- </w:t>
      </w:r>
      <w:r w:rsidRPr="00422C9C">
        <w:t>La responsabilità dirigenziale</w:t>
      </w:r>
      <w:r>
        <w:t xml:space="preserve">, in BARTOLINI-FANTINI-FERRARI, </w:t>
      </w:r>
      <w:r w:rsidRPr="00422C9C">
        <w:rPr>
          <w:i/>
        </w:rPr>
        <w:t>Codice dell’azione amministrativa e delle responsabilità</w:t>
      </w:r>
      <w:r>
        <w:t>, Nel Diritto Editore, 2010, 63-77;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Anno 2009:</w:t>
      </w:r>
    </w:p>
    <w:p w:rsidR="003441B7" w:rsidRDefault="003441B7" w:rsidP="003441B7">
      <w:pPr>
        <w:jc w:val="both"/>
      </w:pPr>
      <w:r>
        <w:t xml:space="preserve">- </w:t>
      </w:r>
      <w:r w:rsidRPr="0038730F">
        <w:t xml:space="preserve">La giurisprudenza costituzionale sullo </w:t>
      </w:r>
      <w:proofErr w:type="spellStart"/>
      <w:r w:rsidRPr="0038730F">
        <w:t>spoils</w:t>
      </w:r>
      <w:proofErr w:type="spellEnd"/>
      <w:r w:rsidRPr="0038730F">
        <w:t xml:space="preserve"> system e gli incarichi dirigenziali nelle pubbliche amministrazioni</w:t>
      </w:r>
      <w:r>
        <w:t xml:space="preserve">, in </w:t>
      </w:r>
      <w:r w:rsidRPr="00D338E0">
        <w:rPr>
          <w:i/>
        </w:rPr>
        <w:t>Argomenti di diritto del lavoro</w:t>
      </w:r>
      <w:r>
        <w:t xml:space="preserve">, 2009, 77; 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Anno 2006:</w:t>
      </w:r>
    </w:p>
    <w:p w:rsidR="003441B7" w:rsidRDefault="003441B7" w:rsidP="003441B7">
      <w:pPr>
        <w:jc w:val="both"/>
        <w:rPr>
          <w:b/>
          <w:sz w:val="22"/>
          <w:szCs w:val="22"/>
        </w:rPr>
      </w:pPr>
      <w:r>
        <w:t xml:space="preserve">- </w:t>
      </w:r>
      <w:smartTag w:uri="urn:schemas-microsoft-com:office:smarttags" w:element="PersonName">
        <w:smartTagPr>
          <w:attr w:name="ProductID" w:val="La Corte"/>
        </w:smartTagPr>
        <w:r>
          <w:t>La Corte</w:t>
        </w:r>
      </w:smartTag>
      <w:r>
        <w:t xml:space="preserve"> costituzionale riconduce a razionalità l’apparato sanzionatorio in tema di lavoro temporaneo, in </w:t>
      </w:r>
      <w:r w:rsidRPr="005F2420">
        <w:rPr>
          <w:i/>
        </w:rPr>
        <w:t>Nuove leggi civili commentate</w:t>
      </w:r>
      <w:r>
        <w:t xml:space="preserve">, 2006, 883; </w:t>
      </w:r>
    </w:p>
    <w:p w:rsidR="003441B7" w:rsidRDefault="003441B7" w:rsidP="003441B7">
      <w:pPr>
        <w:jc w:val="both"/>
        <w:rPr>
          <w:b/>
          <w:sz w:val="22"/>
          <w:szCs w:val="22"/>
        </w:rPr>
      </w:pPr>
    </w:p>
    <w:p w:rsidR="003441B7" w:rsidRPr="00AA30B6" w:rsidRDefault="003441B7" w:rsidP="003441B7">
      <w:pPr>
        <w:jc w:val="both"/>
      </w:pPr>
      <w:r w:rsidRPr="00AA30B6">
        <w:rPr>
          <w:sz w:val="22"/>
          <w:szCs w:val="22"/>
        </w:rPr>
        <w:t>Anno 2005:</w:t>
      </w:r>
    </w:p>
    <w:p w:rsidR="003441B7" w:rsidRDefault="003441B7" w:rsidP="003441B7">
      <w:pPr>
        <w:jc w:val="both"/>
      </w:pPr>
      <w:r>
        <w:t xml:space="preserve">- Le controversie in tema di incarichi dirigenziali, in </w:t>
      </w:r>
      <w:r w:rsidRPr="00CE74E7">
        <w:rPr>
          <w:i/>
        </w:rPr>
        <w:t>Lavoro nelle pubbliche amministrazioni</w:t>
      </w:r>
      <w:r>
        <w:t>, 2005, 765;</w:t>
      </w:r>
    </w:p>
    <w:p w:rsidR="003441B7" w:rsidRDefault="003441B7" w:rsidP="003441B7">
      <w:pPr>
        <w:jc w:val="both"/>
      </w:pPr>
      <w:r>
        <w:t xml:space="preserve">- Il giudice ordinario e le procedure selettive e concorsuali nel lavoro pubblico, in </w:t>
      </w:r>
      <w:r w:rsidRPr="00FC4EA5">
        <w:rPr>
          <w:i/>
        </w:rPr>
        <w:t>Lavoro nelle pubbliche amministrazioni</w:t>
      </w:r>
      <w:r>
        <w:t>, 2005, 289;</w:t>
      </w:r>
    </w:p>
    <w:p w:rsidR="003441B7" w:rsidRDefault="003441B7" w:rsidP="003441B7">
      <w:pPr>
        <w:jc w:val="both"/>
      </w:pPr>
      <w:r>
        <w:t xml:space="preserve"> </w:t>
      </w:r>
    </w:p>
    <w:p w:rsidR="003441B7" w:rsidRDefault="003441B7" w:rsidP="003441B7">
      <w:pPr>
        <w:jc w:val="both"/>
      </w:pPr>
      <w:r>
        <w:t>Anno 2004:</w:t>
      </w:r>
    </w:p>
    <w:p w:rsidR="003441B7" w:rsidRDefault="003441B7" w:rsidP="003441B7">
      <w:pPr>
        <w:jc w:val="both"/>
      </w:pPr>
      <w:r>
        <w:t xml:space="preserve">- Mobilità (impiego pubblico privatizzato), voce della </w:t>
      </w:r>
      <w:r w:rsidRPr="00AA30B6">
        <w:rPr>
          <w:i/>
        </w:rPr>
        <w:t>Enciclopedia giuridica Treccani</w:t>
      </w:r>
      <w:r>
        <w:t>;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 xml:space="preserve">Anno 2002: </w:t>
      </w:r>
    </w:p>
    <w:p w:rsidR="003441B7" w:rsidRDefault="003441B7" w:rsidP="003441B7">
      <w:pPr>
        <w:jc w:val="both"/>
      </w:pPr>
      <w:r>
        <w:t xml:space="preserve">- Licenziamenti/IV) Impiego pubblico privatizzato, voce della </w:t>
      </w:r>
      <w:r w:rsidRPr="00AA30B6">
        <w:rPr>
          <w:i/>
        </w:rPr>
        <w:t>Enciclopedia giuridica Treccani</w:t>
      </w:r>
      <w:r>
        <w:t>.</w:t>
      </w:r>
    </w:p>
    <w:p w:rsidR="003441B7" w:rsidRDefault="003441B7" w:rsidP="003441B7">
      <w:pPr>
        <w:jc w:val="both"/>
      </w:pPr>
      <w:r>
        <w:t xml:space="preserve">- L’invalidità degli accordi del 1992 sull’indennità di cessazione del rapporto di agenzia, in </w:t>
      </w:r>
      <w:r w:rsidRPr="00AA30B6">
        <w:rPr>
          <w:i/>
        </w:rPr>
        <w:t>Giustizia civile</w:t>
      </w:r>
      <w:r>
        <w:t>, 2002, I, 487.</w:t>
      </w:r>
    </w:p>
    <w:p w:rsidR="003441B7" w:rsidRDefault="003441B7" w:rsidP="003441B7">
      <w:pPr>
        <w:jc w:val="both"/>
      </w:pPr>
    </w:p>
    <w:p w:rsidR="003441B7" w:rsidRDefault="003441B7" w:rsidP="003441B7">
      <w:pPr>
        <w:jc w:val="both"/>
      </w:pPr>
      <w:r>
        <w:t>Roma, 14 aprile 2014.</w:t>
      </w:r>
    </w:p>
    <w:p w:rsidR="00B22866" w:rsidRDefault="00B22866"/>
    <w:sectPr w:rsidR="00B22866" w:rsidSect="00BE4C3A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3441B7"/>
    <w:rsid w:val="00145709"/>
    <w:rsid w:val="003441B7"/>
    <w:rsid w:val="007A4EFA"/>
    <w:rsid w:val="007D6AA8"/>
    <w:rsid w:val="0099444D"/>
    <w:rsid w:val="00997FE3"/>
    <w:rsid w:val="009D4516"/>
    <w:rsid w:val="00B22866"/>
    <w:rsid w:val="00BA5C9F"/>
    <w:rsid w:val="00F30381"/>
    <w:rsid w:val="00FC0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41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441B7"/>
    <w:pPr>
      <w:keepNext/>
      <w:jc w:val="both"/>
      <w:outlineLvl w:val="0"/>
    </w:pPr>
    <w:rPr>
      <w:u w:val="single"/>
    </w:rPr>
  </w:style>
  <w:style w:type="paragraph" w:styleId="Titolo2">
    <w:name w:val="heading 2"/>
    <w:basedOn w:val="Normale"/>
    <w:next w:val="Normale"/>
    <w:link w:val="Titolo2Carattere"/>
    <w:qFormat/>
    <w:rsid w:val="003441B7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rsid w:val="003441B7"/>
    <w:pPr>
      <w:keepNext/>
      <w:outlineLvl w:val="2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441B7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3441B7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441B7"/>
    <w:rPr>
      <w:rFonts w:ascii="Times New Roman" w:eastAsia="Times New Roman" w:hAnsi="Times New Roman" w:cs="Times New Roman"/>
      <w:sz w:val="24"/>
      <w:szCs w:val="20"/>
      <w:u w:val="single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1375</Words>
  <Characters>7840</Characters>
  <Application>Microsoft Office Word</Application>
  <DocSecurity>0</DocSecurity>
  <Lines>65</Lines>
  <Paragraphs>18</Paragraphs>
  <ScaleCrop>false</ScaleCrop>
  <Company>Ministero della Giustizia</Company>
  <LinksUpToDate>false</LinksUpToDate>
  <CharactersWithSpaces>9197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sordi.p</dc:creator>
  <cp:keywords/>
  <dc:description/>
  <cp:lastModifiedBy>sordi.p</cp:lastModifiedBy>
  <cp:revision>1</cp:revision>
  <dcterms:created xsi:type="dcterms:W3CDTF">2014-04-14T11:38:00Z</dcterms:created>
  <dcterms:modified xsi:type="dcterms:W3CDTF">2014-04-14T11:39:00Z</dcterms:modified>
</cp:coreProperties>
</file>