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9A" w:rsidRPr="0053559B" w:rsidRDefault="0017749A" w:rsidP="0017749A">
      <w:pPr>
        <w:jc w:val="center"/>
        <w:rPr>
          <w:rFonts w:ascii="Book Antiqua" w:hAnsi="Book Antiqua" w:cs="Times New Roman"/>
          <w:b/>
          <w:sz w:val="28"/>
          <w:szCs w:val="28"/>
          <w:u w:val="single"/>
        </w:rPr>
      </w:pPr>
      <w:r w:rsidRPr="0053559B">
        <w:rPr>
          <w:rFonts w:ascii="Book Antiqua" w:hAnsi="Book Antiqua" w:cs="Times New Roman"/>
          <w:b/>
          <w:sz w:val="28"/>
          <w:szCs w:val="28"/>
          <w:u w:val="single"/>
        </w:rPr>
        <w:t>Parere</w:t>
      </w:r>
    </w:p>
    <w:p w:rsidR="002E2103" w:rsidRPr="0053559B" w:rsidRDefault="002E2103" w:rsidP="0017749A">
      <w:pPr>
        <w:jc w:val="both"/>
        <w:rPr>
          <w:rFonts w:ascii="Book Antiqua" w:hAnsi="Book Antiqua" w:cs="Times New Roman"/>
          <w:sz w:val="28"/>
          <w:szCs w:val="28"/>
        </w:rPr>
      </w:pPr>
    </w:p>
    <w:p w:rsidR="002E2103" w:rsidRPr="0053559B" w:rsidRDefault="0017749A" w:rsidP="0017749A">
      <w:pPr>
        <w:jc w:val="both"/>
        <w:rPr>
          <w:rFonts w:ascii="Book Antiqua" w:hAnsi="Book Antiqua" w:cs="Times New Roman"/>
          <w:sz w:val="28"/>
          <w:szCs w:val="28"/>
        </w:rPr>
      </w:pPr>
      <w:r w:rsidRPr="0053559B">
        <w:rPr>
          <w:rFonts w:ascii="Book Antiqua" w:hAnsi="Book Antiqua" w:cs="Times New Roman"/>
          <w:sz w:val="28"/>
          <w:szCs w:val="28"/>
        </w:rPr>
        <w:t>Tizio</w:t>
      </w:r>
      <w:r w:rsidR="002E2103" w:rsidRPr="0053559B">
        <w:rPr>
          <w:rFonts w:ascii="Book Antiqua" w:hAnsi="Book Antiqua" w:cs="Times New Roman"/>
          <w:sz w:val="28"/>
          <w:szCs w:val="28"/>
        </w:rPr>
        <w:t xml:space="preserve"> si introduce nell’abitazione di </w:t>
      </w:r>
      <w:proofErr w:type="spellStart"/>
      <w:r w:rsidR="002E2103" w:rsidRPr="0053559B">
        <w:rPr>
          <w:rFonts w:ascii="Book Antiqua" w:hAnsi="Book Antiqua" w:cs="Times New Roman"/>
          <w:sz w:val="28"/>
          <w:szCs w:val="28"/>
        </w:rPr>
        <w:t>Mevia</w:t>
      </w:r>
      <w:proofErr w:type="spellEnd"/>
      <w:r w:rsidR="002E2103" w:rsidRPr="0053559B">
        <w:rPr>
          <w:rFonts w:ascii="Book Antiqua" w:hAnsi="Book Antiqua" w:cs="Times New Roman"/>
          <w:sz w:val="28"/>
          <w:szCs w:val="28"/>
        </w:rPr>
        <w:t>, alla quale era stato legato da una relazione sentimentale di cui non accetta la conclusione e che continua a seguire, controllare e molestare</w:t>
      </w:r>
      <w:r w:rsidR="0053559B" w:rsidRPr="0053559B">
        <w:rPr>
          <w:rFonts w:ascii="Book Antiqua" w:hAnsi="Book Antiqua" w:cs="Times New Roman"/>
          <w:sz w:val="28"/>
          <w:szCs w:val="28"/>
        </w:rPr>
        <w:t xml:space="preserve"> senza che la stessa abbia ancora sporto querela</w:t>
      </w:r>
      <w:r w:rsidR="002E2103" w:rsidRPr="0053559B">
        <w:rPr>
          <w:rFonts w:ascii="Book Antiqua" w:hAnsi="Book Antiqua" w:cs="Times New Roman"/>
          <w:sz w:val="28"/>
          <w:szCs w:val="28"/>
        </w:rPr>
        <w:t>, e viene ripreso dall’impianto di videosorveglianza ivi installato</w:t>
      </w:r>
      <w:r w:rsidR="00FE44CF" w:rsidRPr="0053559B">
        <w:rPr>
          <w:rFonts w:ascii="Book Antiqua" w:hAnsi="Book Antiqua" w:cs="Times New Roman"/>
          <w:sz w:val="28"/>
          <w:szCs w:val="28"/>
        </w:rPr>
        <w:t xml:space="preserve"> mentre l’aspetta in camera da letto</w:t>
      </w:r>
      <w:r w:rsidR="002E2103" w:rsidRPr="0053559B">
        <w:rPr>
          <w:rFonts w:ascii="Book Antiqua" w:hAnsi="Book Antiqua" w:cs="Times New Roman"/>
          <w:sz w:val="28"/>
          <w:szCs w:val="28"/>
        </w:rPr>
        <w:t>.</w:t>
      </w:r>
    </w:p>
    <w:p w:rsidR="002E2103" w:rsidRPr="0053559B" w:rsidRDefault="002E2103" w:rsidP="0017749A">
      <w:pPr>
        <w:jc w:val="both"/>
        <w:rPr>
          <w:rFonts w:ascii="Book Antiqua" w:hAnsi="Book Antiqua" w:cs="Times New Roman"/>
          <w:sz w:val="28"/>
          <w:szCs w:val="28"/>
        </w:rPr>
      </w:pPr>
      <w:r w:rsidRPr="0053559B">
        <w:rPr>
          <w:rFonts w:ascii="Book Antiqua" w:hAnsi="Book Antiqua" w:cs="Times New Roman"/>
          <w:sz w:val="28"/>
          <w:szCs w:val="28"/>
        </w:rPr>
        <w:t xml:space="preserve">Stanco dell’attesa di </w:t>
      </w:r>
      <w:proofErr w:type="spellStart"/>
      <w:r w:rsidRPr="0053559B">
        <w:rPr>
          <w:rFonts w:ascii="Book Antiqua" w:hAnsi="Book Antiqua" w:cs="Times New Roman"/>
          <w:sz w:val="28"/>
          <w:szCs w:val="28"/>
        </w:rPr>
        <w:t>Mevia</w:t>
      </w:r>
      <w:proofErr w:type="spellEnd"/>
      <w:r w:rsidRPr="0053559B">
        <w:rPr>
          <w:rFonts w:ascii="Book Antiqua" w:hAnsi="Book Antiqua" w:cs="Times New Roman"/>
          <w:sz w:val="28"/>
          <w:szCs w:val="28"/>
        </w:rPr>
        <w:t xml:space="preserve">, che tarda a rientrare, Tizio decide di allontanarsi, impossessandosi di una macchina fotografica che le aveva </w:t>
      </w:r>
      <w:r w:rsidR="00187BC1" w:rsidRPr="0053559B">
        <w:rPr>
          <w:rFonts w:ascii="Book Antiqua" w:hAnsi="Book Antiqua" w:cs="Times New Roman"/>
          <w:sz w:val="28"/>
          <w:szCs w:val="28"/>
        </w:rPr>
        <w:t>prestato</w:t>
      </w:r>
      <w:r w:rsidRPr="0053559B">
        <w:rPr>
          <w:rFonts w:ascii="Book Antiqua" w:hAnsi="Book Antiqua" w:cs="Times New Roman"/>
          <w:sz w:val="28"/>
          <w:szCs w:val="28"/>
        </w:rPr>
        <w:t xml:space="preserve"> nel corso della relazione</w:t>
      </w:r>
      <w:r w:rsidR="00FE44CF" w:rsidRPr="0053559B">
        <w:rPr>
          <w:rFonts w:ascii="Book Antiqua" w:hAnsi="Book Antiqua" w:cs="Times New Roman"/>
          <w:sz w:val="28"/>
          <w:szCs w:val="28"/>
        </w:rPr>
        <w:t xml:space="preserve">, lasciando nell’abitazione uno spray narcotizzante che aveva portato con </w:t>
      </w:r>
      <w:proofErr w:type="spellStart"/>
      <w:r w:rsidR="00FE44CF" w:rsidRPr="0053559B">
        <w:rPr>
          <w:rFonts w:ascii="Book Antiqua" w:hAnsi="Book Antiqua" w:cs="Times New Roman"/>
          <w:sz w:val="28"/>
          <w:szCs w:val="28"/>
        </w:rPr>
        <w:t>s</w:t>
      </w:r>
      <w:r w:rsidR="00187BC1" w:rsidRPr="0053559B">
        <w:rPr>
          <w:rFonts w:ascii="Book Antiqua" w:hAnsi="Book Antiqua" w:cs="Times New Roman"/>
          <w:sz w:val="28"/>
          <w:szCs w:val="28"/>
        </w:rPr>
        <w:t>è</w:t>
      </w:r>
      <w:proofErr w:type="spellEnd"/>
      <w:r w:rsidR="00FE44CF" w:rsidRPr="0053559B">
        <w:rPr>
          <w:rFonts w:ascii="Book Antiqua" w:hAnsi="Book Antiqua" w:cs="Times New Roman"/>
          <w:sz w:val="28"/>
          <w:szCs w:val="28"/>
        </w:rPr>
        <w:t>.</w:t>
      </w:r>
    </w:p>
    <w:p w:rsidR="00FE44CF" w:rsidRPr="0053559B" w:rsidRDefault="0017749A" w:rsidP="0017749A">
      <w:pPr>
        <w:jc w:val="both"/>
        <w:rPr>
          <w:rFonts w:ascii="Book Antiqua" w:hAnsi="Book Antiqua" w:cs="Times New Roman"/>
          <w:sz w:val="28"/>
          <w:szCs w:val="28"/>
        </w:rPr>
      </w:pPr>
      <w:r w:rsidRPr="0053559B">
        <w:rPr>
          <w:rFonts w:ascii="Book Antiqua" w:hAnsi="Book Antiqua" w:cs="Times New Roman"/>
          <w:sz w:val="28"/>
          <w:szCs w:val="28"/>
        </w:rPr>
        <w:t xml:space="preserve">Tizio è indagato </w:t>
      </w:r>
      <w:r w:rsidR="00FE44CF" w:rsidRPr="0053559B">
        <w:rPr>
          <w:rFonts w:ascii="Book Antiqua" w:hAnsi="Book Antiqua" w:cs="Times New Roman"/>
          <w:sz w:val="28"/>
          <w:szCs w:val="28"/>
        </w:rPr>
        <w:t>di tentata violenza sessuale</w:t>
      </w:r>
      <w:r w:rsidR="0053559B" w:rsidRPr="0053559B">
        <w:rPr>
          <w:rFonts w:ascii="Book Antiqua" w:hAnsi="Book Antiqua" w:cs="Times New Roman"/>
          <w:sz w:val="28"/>
          <w:szCs w:val="28"/>
        </w:rPr>
        <w:t xml:space="preserve">, oltre che per i reati di cui agli artt. 624 </w:t>
      </w:r>
      <w:r w:rsidR="0053559B" w:rsidRPr="0053559B">
        <w:rPr>
          <w:rFonts w:ascii="Book Antiqua" w:hAnsi="Book Antiqua" w:cs="Times New Roman"/>
          <w:i/>
          <w:sz w:val="28"/>
          <w:szCs w:val="28"/>
        </w:rPr>
        <w:t xml:space="preserve">bis </w:t>
      </w:r>
      <w:r w:rsidR="0053559B" w:rsidRPr="0053559B">
        <w:rPr>
          <w:rFonts w:ascii="Book Antiqua" w:hAnsi="Book Antiqua" w:cs="Times New Roman"/>
          <w:sz w:val="28"/>
          <w:szCs w:val="28"/>
        </w:rPr>
        <w:t xml:space="preserve">e 612 </w:t>
      </w:r>
      <w:r w:rsidR="0053559B" w:rsidRPr="0053559B">
        <w:rPr>
          <w:rFonts w:ascii="Book Antiqua" w:hAnsi="Book Antiqua" w:cs="Times New Roman"/>
          <w:i/>
          <w:sz w:val="28"/>
          <w:szCs w:val="28"/>
        </w:rPr>
        <w:t>bis</w:t>
      </w:r>
      <w:r w:rsidR="0053559B" w:rsidRPr="0053559B">
        <w:rPr>
          <w:rFonts w:ascii="Book Antiqua" w:hAnsi="Book Antiqua" w:cs="Times New Roman"/>
          <w:sz w:val="28"/>
          <w:szCs w:val="28"/>
        </w:rPr>
        <w:t xml:space="preserve"> cod. pen..</w:t>
      </w:r>
    </w:p>
    <w:p w:rsidR="0017749A" w:rsidRPr="0053559B" w:rsidRDefault="0017749A" w:rsidP="0017749A">
      <w:pPr>
        <w:jc w:val="both"/>
        <w:rPr>
          <w:rFonts w:ascii="Book Antiqua" w:hAnsi="Book Antiqua" w:cs="Times New Roman"/>
          <w:sz w:val="28"/>
          <w:szCs w:val="28"/>
        </w:rPr>
      </w:pPr>
      <w:r w:rsidRPr="0053559B">
        <w:rPr>
          <w:rFonts w:ascii="Book Antiqua" w:hAnsi="Book Antiqua" w:cs="Times New Roman"/>
          <w:sz w:val="28"/>
          <w:szCs w:val="28"/>
        </w:rPr>
        <w:t>Assunte le vesti del legale, il candidato rediga motivato parere.</w:t>
      </w:r>
    </w:p>
    <w:p w:rsidR="0017749A" w:rsidRPr="0053559B" w:rsidRDefault="0017749A" w:rsidP="0017749A">
      <w:pPr>
        <w:jc w:val="both"/>
        <w:rPr>
          <w:rFonts w:ascii="Book Antiqua" w:hAnsi="Book Antiqua" w:cs="Times New Roman"/>
          <w:sz w:val="28"/>
          <w:szCs w:val="28"/>
        </w:rPr>
      </w:pPr>
    </w:p>
    <w:p w:rsidR="0017749A" w:rsidRPr="0053559B" w:rsidRDefault="0017749A" w:rsidP="0017749A">
      <w:pPr>
        <w:jc w:val="both"/>
        <w:rPr>
          <w:rFonts w:ascii="Book Antiqua" w:hAnsi="Book Antiqua" w:cs="Times New Roman"/>
          <w:sz w:val="28"/>
          <w:szCs w:val="28"/>
        </w:rPr>
      </w:pPr>
    </w:p>
    <w:p w:rsidR="0017749A" w:rsidRPr="0053559B" w:rsidRDefault="0017749A" w:rsidP="0053559B">
      <w:pPr>
        <w:jc w:val="center"/>
        <w:rPr>
          <w:rFonts w:ascii="Book Antiqua" w:hAnsi="Book Antiqua" w:cstheme="minorHAnsi"/>
          <w:b/>
          <w:bCs/>
          <w:szCs w:val="24"/>
        </w:rPr>
      </w:pPr>
      <w:r w:rsidRPr="0053559B">
        <w:rPr>
          <w:rFonts w:ascii="Book Antiqua" w:hAnsi="Book Antiqua" w:cstheme="minorHAnsi"/>
          <w:szCs w:val="24"/>
        </w:rPr>
        <w:t>SCALETTA IDEALE PARERE</w:t>
      </w:r>
    </w:p>
    <w:p w:rsidR="00FE44CF" w:rsidRPr="0053559B" w:rsidRDefault="0017749A" w:rsidP="0017749A">
      <w:pPr>
        <w:pStyle w:val="Paragrafoelenco"/>
        <w:numPr>
          <w:ilvl w:val="0"/>
          <w:numId w:val="1"/>
        </w:numPr>
        <w:jc w:val="both"/>
        <w:rPr>
          <w:rFonts w:ascii="Book Antiqua" w:hAnsi="Book Antiqua" w:cstheme="minorHAnsi"/>
          <w:szCs w:val="24"/>
        </w:rPr>
      </w:pPr>
      <w:r w:rsidRPr="0053559B">
        <w:rPr>
          <w:rFonts w:ascii="Book Antiqua" w:hAnsi="Book Antiqua" w:cstheme="minorHAnsi"/>
          <w:szCs w:val="24"/>
        </w:rPr>
        <w:t>Inquadramento normativo: brevi cenni al regime giuridico del</w:t>
      </w:r>
      <w:r w:rsidR="00FE44CF" w:rsidRPr="0053559B">
        <w:rPr>
          <w:rFonts w:ascii="Book Antiqua" w:hAnsi="Book Antiqua" w:cstheme="minorHAnsi"/>
          <w:szCs w:val="24"/>
        </w:rPr>
        <w:t>la desistenza e del recesso nell’ambito del delitto tentato.</w:t>
      </w:r>
    </w:p>
    <w:p w:rsidR="00FE44CF" w:rsidRPr="0053559B" w:rsidRDefault="0017749A" w:rsidP="0017749A">
      <w:pPr>
        <w:pStyle w:val="Paragrafoelenco"/>
        <w:numPr>
          <w:ilvl w:val="0"/>
          <w:numId w:val="1"/>
        </w:numPr>
        <w:jc w:val="both"/>
        <w:rPr>
          <w:rFonts w:ascii="Book Antiqua" w:hAnsi="Book Antiqua" w:cstheme="minorHAnsi"/>
          <w:szCs w:val="24"/>
        </w:rPr>
      </w:pPr>
      <w:r w:rsidRPr="0053559B">
        <w:rPr>
          <w:rFonts w:ascii="Book Antiqua" w:hAnsi="Book Antiqua" w:cstheme="minorHAnsi"/>
          <w:szCs w:val="24"/>
        </w:rPr>
        <w:t xml:space="preserve">Inquadramento dogmatico della problematica della </w:t>
      </w:r>
      <w:r w:rsidR="00FE44CF" w:rsidRPr="0053559B">
        <w:rPr>
          <w:rFonts w:ascii="Book Antiqua" w:hAnsi="Book Antiqua" w:cstheme="minorHAnsi"/>
          <w:szCs w:val="24"/>
        </w:rPr>
        <w:t>desistenza</w:t>
      </w:r>
      <w:r w:rsidRPr="0053559B">
        <w:rPr>
          <w:rFonts w:ascii="Book Antiqua" w:hAnsi="Book Antiqua" w:cstheme="minorHAnsi"/>
          <w:szCs w:val="24"/>
        </w:rPr>
        <w:t xml:space="preserve">: </w:t>
      </w:r>
      <w:r w:rsidR="00FE44CF" w:rsidRPr="0053559B">
        <w:rPr>
          <w:rFonts w:ascii="Book Antiqua" w:hAnsi="Book Antiqua" w:cstheme="minorHAnsi"/>
          <w:szCs w:val="24"/>
        </w:rPr>
        <w:t>volontarietà, cessazione dell’azione esecutiva, rilevanza della natura del reato.</w:t>
      </w:r>
    </w:p>
    <w:p w:rsidR="00FE44CF" w:rsidRPr="0053559B" w:rsidRDefault="0017749A" w:rsidP="00FE44CF">
      <w:pPr>
        <w:pStyle w:val="Paragrafoelenco"/>
        <w:numPr>
          <w:ilvl w:val="0"/>
          <w:numId w:val="1"/>
        </w:numPr>
        <w:jc w:val="both"/>
        <w:rPr>
          <w:rFonts w:ascii="Book Antiqua" w:hAnsi="Book Antiqua" w:cstheme="minorHAnsi"/>
          <w:szCs w:val="24"/>
        </w:rPr>
      </w:pPr>
      <w:r w:rsidRPr="0053559B">
        <w:rPr>
          <w:rFonts w:ascii="Book Antiqua" w:hAnsi="Book Antiqua" w:cstheme="minorHAnsi"/>
          <w:szCs w:val="24"/>
        </w:rPr>
        <w:t xml:space="preserve">Illustrazione degli orientamenti giurisprudenziali: </w:t>
      </w:r>
      <w:r w:rsidR="00FE44CF" w:rsidRPr="0053559B">
        <w:rPr>
          <w:rFonts w:ascii="Book Antiqua" w:hAnsi="Book Antiqua" w:cstheme="minorHAnsi"/>
          <w:szCs w:val="24"/>
        </w:rPr>
        <w:t>tentativo compiuto ed incompiuto, fattispecie causalmente orientate.</w:t>
      </w:r>
    </w:p>
    <w:p w:rsidR="0017749A" w:rsidRPr="0053559B" w:rsidRDefault="0017749A" w:rsidP="0017749A">
      <w:pPr>
        <w:pStyle w:val="Paragrafoelenco"/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hAnsi="Book Antiqua" w:cstheme="minorHAnsi"/>
          <w:bCs/>
          <w:szCs w:val="24"/>
        </w:rPr>
      </w:pPr>
      <w:r w:rsidRPr="0053559B">
        <w:rPr>
          <w:rFonts w:ascii="Book Antiqua" w:hAnsi="Book Antiqua" w:cstheme="minorHAnsi"/>
          <w:szCs w:val="24"/>
        </w:rPr>
        <w:t>Trattazione delle peculiarità del caso di specie:</w:t>
      </w:r>
    </w:p>
    <w:p w:rsidR="00187BC1" w:rsidRPr="0053559B" w:rsidRDefault="00FE44CF" w:rsidP="0017749A">
      <w:pPr>
        <w:pStyle w:val="Paragrafoelenco"/>
        <w:numPr>
          <w:ilvl w:val="1"/>
          <w:numId w:val="1"/>
        </w:numPr>
        <w:spacing w:after="200" w:line="276" w:lineRule="auto"/>
        <w:contextualSpacing/>
        <w:jc w:val="both"/>
        <w:rPr>
          <w:rFonts w:ascii="Book Antiqua" w:hAnsi="Book Antiqua" w:cstheme="minorHAnsi"/>
          <w:bCs/>
          <w:szCs w:val="24"/>
        </w:rPr>
      </w:pPr>
      <w:r w:rsidRPr="0053559B">
        <w:rPr>
          <w:rFonts w:ascii="Book Antiqua" w:hAnsi="Book Antiqua" w:cstheme="minorHAnsi"/>
          <w:bCs/>
          <w:szCs w:val="24"/>
        </w:rPr>
        <w:t>L’introduzione nel domicilio con strumenti atti a limitare la capacità di autodeterminazione della persona offesa co</w:t>
      </w:r>
      <w:r w:rsidR="0053559B">
        <w:rPr>
          <w:rFonts w:ascii="Book Antiqua" w:hAnsi="Book Antiqua" w:cstheme="minorHAnsi"/>
          <w:bCs/>
          <w:szCs w:val="24"/>
        </w:rPr>
        <w:t>nfigura</w:t>
      </w:r>
      <w:r w:rsidRPr="0053559B">
        <w:rPr>
          <w:rFonts w:ascii="Book Antiqua" w:hAnsi="Book Antiqua" w:cstheme="minorHAnsi"/>
          <w:bCs/>
          <w:szCs w:val="24"/>
        </w:rPr>
        <w:t xml:space="preserve"> atti idon</w:t>
      </w:r>
      <w:r w:rsidR="00187BC1" w:rsidRPr="0053559B">
        <w:rPr>
          <w:rFonts w:ascii="Book Antiqua" w:hAnsi="Book Antiqua" w:cstheme="minorHAnsi"/>
          <w:bCs/>
          <w:szCs w:val="24"/>
        </w:rPr>
        <w:t>e</w:t>
      </w:r>
      <w:r w:rsidRPr="0053559B">
        <w:rPr>
          <w:rFonts w:ascii="Book Antiqua" w:hAnsi="Book Antiqua" w:cstheme="minorHAnsi"/>
          <w:bCs/>
          <w:szCs w:val="24"/>
        </w:rPr>
        <w:t xml:space="preserve">i diretti in modo non equivoco a commettere il reato di cui all’art. </w:t>
      </w:r>
      <w:r w:rsidR="00187BC1" w:rsidRPr="0053559B">
        <w:rPr>
          <w:rFonts w:ascii="Book Antiqua" w:hAnsi="Book Antiqua" w:cstheme="minorHAnsi"/>
          <w:bCs/>
          <w:szCs w:val="24"/>
        </w:rPr>
        <w:t xml:space="preserve">609 </w:t>
      </w:r>
      <w:r w:rsidR="00187BC1" w:rsidRPr="0053559B">
        <w:rPr>
          <w:rFonts w:ascii="Book Antiqua" w:hAnsi="Book Antiqua" w:cstheme="minorHAnsi"/>
          <w:bCs/>
          <w:i/>
          <w:szCs w:val="24"/>
        </w:rPr>
        <w:t>bis</w:t>
      </w:r>
      <w:r w:rsidR="00187BC1" w:rsidRPr="0053559B">
        <w:rPr>
          <w:rFonts w:ascii="Book Antiqua" w:hAnsi="Book Antiqua" w:cstheme="minorHAnsi"/>
          <w:bCs/>
          <w:szCs w:val="24"/>
        </w:rPr>
        <w:t xml:space="preserve"> cod. pen.?</w:t>
      </w:r>
    </w:p>
    <w:p w:rsidR="00187BC1" w:rsidRPr="0053559B" w:rsidRDefault="00187BC1" w:rsidP="0017749A">
      <w:pPr>
        <w:pStyle w:val="Paragrafoelenco"/>
        <w:numPr>
          <w:ilvl w:val="1"/>
          <w:numId w:val="1"/>
        </w:numPr>
        <w:spacing w:after="200" w:line="276" w:lineRule="auto"/>
        <w:contextualSpacing/>
        <w:jc w:val="both"/>
        <w:rPr>
          <w:rFonts w:ascii="Book Antiqua" w:hAnsi="Book Antiqua" w:cstheme="minorHAnsi"/>
          <w:bCs/>
          <w:szCs w:val="24"/>
        </w:rPr>
      </w:pPr>
      <w:r w:rsidRPr="0053559B">
        <w:rPr>
          <w:rFonts w:ascii="Book Antiqua" w:hAnsi="Book Antiqua" w:cstheme="minorHAnsi"/>
          <w:bCs/>
          <w:szCs w:val="24"/>
        </w:rPr>
        <w:t>Si configura un’ipotesi di volontaria interruzione della fase esecutiva del reato?</w:t>
      </w:r>
    </w:p>
    <w:p w:rsidR="00187BC1" w:rsidRPr="0053559B" w:rsidRDefault="00187BC1" w:rsidP="0017749A">
      <w:pPr>
        <w:pStyle w:val="Paragrafoelenco"/>
        <w:numPr>
          <w:ilvl w:val="1"/>
          <w:numId w:val="1"/>
        </w:numPr>
        <w:spacing w:after="200" w:line="276" w:lineRule="auto"/>
        <w:contextualSpacing/>
        <w:jc w:val="both"/>
        <w:rPr>
          <w:rFonts w:ascii="Book Antiqua" w:hAnsi="Book Antiqua" w:cstheme="minorHAnsi"/>
          <w:bCs/>
          <w:szCs w:val="24"/>
        </w:rPr>
      </w:pPr>
      <w:r w:rsidRPr="0053559B">
        <w:rPr>
          <w:rFonts w:ascii="Book Antiqua" w:hAnsi="Book Antiqua" w:cstheme="minorHAnsi"/>
          <w:bCs/>
          <w:szCs w:val="24"/>
        </w:rPr>
        <w:t>Si è realizzata un’ipotesi di tentativo compiuto rispetto al quale la desistenza è irrilevante?</w:t>
      </w:r>
    </w:p>
    <w:p w:rsidR="0017749A" w:rsidRPr="0053559B" w:rsidRDefault="00187BC1" w:rsidP="0017749A">
      <w:pPr>
        <w:pStyle w:val="Paragrafoelenco"/>
        <w:numPr>
          <w:ilvl w:val="1"/>
          <w:numId w:val="1"/>
        </w:numPr>
        <w:spacing w:after="200" w:line="276" w:lineRule="auto"/>
        <w:contextualSpacing/>
        <w:jc w:val="both"/>
        <w:rPr>
          <w:rFonts w:ascii="Book Antiqua" w:hAnsi="Book Antiqua" w:cstheme="minorHAnsi"/>
          <w:bCs/>
          <w:szCs w:val="24"/>
        </w:rPr>
      </w:pPr>
      <w:r w:rsidRPr="0053559B">
        <w:rPr>
          <w:rFonts w:ascii="Book Antiqua" w:hAnsi="Book Antiqua" w:cstheme="minorHAnsi"/>
          <w:bCs/>
          <w:szCs w:val="24"/>
        </w:rPr>
        <w:t xml:space="preserve">Quali reati sono ravvisabili </w:t>
      </w:r>
      <w:r w:rsidR="0053559B" w:rsidRPr="0053559B">
        <w:rPr>
          <w:rFonts w:ascii="Book Antiqua" w:hAnsi="Book Antiqua" w:cstheme="minorHAnsi"/>
          <w:bCs/>
          <w:szCs w:val="24"/>
        </w:rPr>
        <w:t xml:space="preserve">e </w:t>
      </w:r>
      <w:proofErr w:type="spellStart"/>
      <w:r w:rsidR="0053559B" w:rsidRPr="0053559B">
        <w:rPr>
          <w:rFonts w:ascii="Book Antiqua" w:hAnsi="Book Antiqua" w:cstheme="minorHAnsi"/>
          <w:bCs/>
          <w:szCs w:val="24"/>
        </w:rPr>
        <w:t>procedibili</w:t>
      </w:r>
      <w:proofErr w:type="spellEnd"/>
      <w:r w:rsidR="0053559B" w:rsidRPr="0053559B">
        <w:rPr>
          <w:rFonts w:ascii="Book Antiqua" w:hAnsi="Book Antiqua" w:cstheme="minorHAnsi"/>
          <w:bCs/>
          <w:szCs w:val="24"/>
        </w:rPr>
        <w:t xml:space="preserve"> </w:t>
      </w:r>
      <w:r w:rsidRPr="0053559B">
        <w:rPr>
          <w:rFonts w:ascii="Book Antiqua" w:hAnsi="Book Antiqua" w:cstheme="minorHAnsi"/>
          <w:bCs/>
          <w:szCs w:val="24"/>
        </w:rPr>
        <w:t>nella fattispecie</w:t>
      </w:r>
      <w:r w:rsidR="0017749A" w:rsidRPr="0053559B">
        <w:rPr>
          <w:rFonts w:ascii="Book Antiqua" w:hAnsi="Book Antiqua" w:cstheme="minorHAnsi"/>
          <w:bCs/>
          <w:szCs w:val="24"/>
        </w:rPr>
        <w:t>?</w:t>
      </w:r>
    </w:p>
    <w:p w:rsidR="0053559B" w:rsidRPr="0053559B" w:rsidRDefault="0053559B" w:rsidP="0053559B">
      <w:pPr>
        <w:pStyle w:val="Paragrafoelenco"/>
        <w:spacing w:after="200" w:line="276" w:lineRule="auto"/>
        <w:ind w:left="1440"/>
        <w:contextualSpacing/>
        <w:jc w:val="both"/>
        <w:rPr>
          <w:rFonts w:ascii="Book Antiqua" w:hAnsi="Book Antiqua" w:cstheme="minorHAnsi"/>
          <w:bCs/>
          <w:szCs w:val="24"/>
        </w:rPr>
      </w:pPr>
    </w:p>
    <w:p w:rsidR="00187BC1" w:rsidRPr="0053559B" w:rsidRDefault="00187BC1" w:rsidP="00187BC1">
      <w:pPr>
        <w:pStyle w:val="Paragrafoelenco"/>
        <w:spacing w:after="200" w:line="276" w:lineRule="auto"/>
        <w:ind w:left="1440"/>
        <w:contextualSpacing/>
        <w:jc w:val="both"/>
        <w:rPr>
          <w:rFonts w:ascii="Book Antiqua" w:hAnsi="Book Antiqua" w:cstheme="minorHAnsi"/>
          <w:b/>
          <w:bCs/>
          <w:szCs w:val="24"/>
        </w:rPr>
      </w:pPr>
    </w:p>
    <w:p w:rsidR="0017749A" w:rsidRPr="0053559B" w:rsidRDefault="0017749A" w:rsidP="0017749A">
      <w:pPr>
        <w:pStyle w:val="Paragrafoelenco"/>
        <w:numPr>
          <w:ilvl w:val="0"/>
          <w:numId w:val="1"/>
        </w:numPr>
        <w:jc w:val="both"/>
        <w:rPr>
          <w:rFonts w:ascii="Book Antiqua" w:hAnsi="Book Antiqua" w:cstheme="minorHAnsi"/>
          <w:szCs w:val="24"/>
        </w:rPr>
      </w:pPr>
      <w:r w:rsidRPr="0053559B">
        <w:rPr>
          <w:rFonts w:ascii="Book Antiqua" w:hAnsi="Book Antiqua" w:cstheme="minorHAnsi"/>
          <w:szCs w:val="24"/>
        </w:rPr>
        <w:t xml:space="preserve">Conclusioni: il parere deve essere reso nell’interesse dell’assistito, quindi è </w:t>
      </w:r>
      <w:r w:rsidR="008B259F">
        <w:rPr>
          <w:rFonts w:ascii="Book Antiqua" w:hAnsi="Book Antiqua" w:cstheme="minorHAnsi"/>
          <w:szCs w:val="24"/>
        </w:rPr>
        <w:t>fondamentale</w:t>
      </w:r>
      <w:r w:rsidRPr="0053559B">
        <w:rPr>
          <w:rFonts w:ascii="Book Antiqua" w:hAnsi="Book Antiqua" w:cstheme="minorHAnsi"/>
          <w:szCs w:val="24"/>
        </w:rPr>
        <w:t xml:space="preserve"> che i possibili argomenti difensivi siano accuratamente illustrati.</w:t>
      </w:r>
    </w:p>
    <w:p w:rsidR="0017749A" w:rsidRPr="0053559B" w:rsidRDefault="0017749A" w:rsidP="0017749A">
      <w:pPr>
        <w:spacing w:after="200" w:line="276" w:lineRule="auto"/>
        <w:contextualSpacing/>
        <w:jc w:val="both"/>
        <w:rPr>
          <w:rFonts w:ascii="Book Antiqua" w:hAnsi="Book Antiqua" w:cstheme="minorHAnsi"/>
          <w:szCs w:val="24"/>
        </w:rPr>
      </w:pPr>
      <w:r w:rsidRPr="0053559B">
        <w:rPr>
          <w:rFonts w:ascii="Book Antiqua" w:hAnsi="Book Antiqua" w:cstheme="minorHAnsi"/>
          <w:szCs w:val="24"/>
        </w:rPr>
        <w:t xml:space="preserve"> </w:t>
      </w:r>
    </w:p>
    <w:p w:rsidR="0004235E" w:rsidRPr="0053559B" w:rsidRDefault="0004235E">
      <w:pPr>
        <w:rPr>
          <w:rFonts w:ascii="Book Antiqua" w:hAnsi="Book Antiqua"/>
        </w:rPr>
      </w:pPr>
    </w:p>
    <w:sectPr w:rsidR="0004235E" w:rsidRPr="0053559B" w:rsidSect="00BA10D4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00F0"/>
    <w:multiLevelType w:val="hybridMultilevel"/>
    <w:tmpl w:val="BFC439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283"/>
  <w:characterSpacingControl w:val="doNotCompress"/>
  <w:compat/>
  <w:rsids>
    <w:rsidRoot w:val="0017749A"/>
    <w:rsid w:val="0004235E"/>
    <w:rsid w:val="0017749A"/>
    <w:rsid w:val="0018293E"/>
    <w:rsid w:val="00187BC1"/>
    <w:rsid w:val="002E2103"/>
    <w:rsid w:val="0053559B"/>
    <w:rsid w:val="008B259F"/>
    <w:rsid w:val="00FE4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49A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7749A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2018-06-17T07:09:00Z</dcterms:created>
  <dcterms:modified xsi:type="dcterms:W3CDTF">2018-06-17T08:00:00Z</dcterms:modified>
</cp:coreProperties>
</file>